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98F49" w14:textId="4D15A8AA" w:rsidR="00B44706" w:rsidRPr="001863C6" w:rsidRDefault="00CF6F0E" w:rsidP="00B26832">
      <w:pPr>
        <w:widowControl w:val="0"/>
        <w:autoSpaceDE w:val="0"/>
        <w:autoSpaceDN w:val="0"/>
        <w:adjustRightInd w:val="0"/>
        <w:spacing w:after="240"/>
        <w:ind w:right="-900"/>
        <w:rPr>
          <w:rFonts w:ascii="Times" w:hAnsi="Times" w:cs="Times New Roman"/>
          <w:i/>
          <w:color w:val="000000"/>
        </w:rPr>
      </w:pPr>
      <w:bookmarkStart w:id="0" w:name="_GoBack"/>
      <w:bookmarkEnd w:id="0"/>
      <w:r w:rsidRPr="001863C6">
        <w:rPr>
          <w:rFonts w:ascii="Times" w:hAnsi="Times" w:cs="Times New Roman"/>
          <w:color w:val="000000"/>
        </w:rPr>
        <w:t>TOMATO (</w:t>
      </w:r>
      <w:proofErr w:type="spellStart"/>
      <w:r w:rsidRPr="001863C6">
        <w:rPr>
          <w:rFonts w:ascii="Times" w:hAnsi="Times" w:cs="Times"/>
          <w:i/>
          <w:iCs/>
          <w:color w:val="000000"/>
        </w:rPr>
        <w:t>Lycopersicon</w:t>
      </w:r>
      <w:proofErr w:type="spellEnd"/>
      <w:r w:rsidRPr="001863C6">
        <w:rPr>
          <w:rFonts w:ascii="Times" w:hAnsi="Times" w:cs="Times"/>
          <w:i/>
          <w:iCs/>
          <w:color w:val="000000"/>
        </w:rPr>
        <w:t xml:space="preserve"> </w:t>
      </w:r>
      <w:proofErr w:type="spellStart"/>
      <w:r w:rsidRPr="001863C6">
        <w:rPr>
          <w:rFonts w:ascii="Times" w:hAnsi="Times" w:cs="Times"/>
          <w:i/>
          <w:iCs/>
          <w:color w:val="000000"/>
        </w:rPr>
        <w:t>esculentum</w:t>
      </w:r>
      <w:proofErr w:type="spellEnd"/>
      <w:r w:rsidRPr="001863C6">
        <w:rPr>
          <w:rFonts w:ascii="Times" w:hAnsi="Times" w:cs="Times"/>
          <w:i/>
          <w:iCs/>
          <w:color w:val="000000"/>
        </w:rPr>
        <w:t xml:space="preserve"> </w:t>
      </w:r>
      <w:r w:rsidRPr="001863C6">
        <w:rPr>
          <w:rFonts w:ascii="Times" w:hAnsi="Times" w:cs="Times New Roman"/>
          <w:color w:val="000000"/>
        </w:rPr>
        <w:t>‘</w:t>
      </w:r>
      <w:r w:rsidR="00B26832" w:rsidRPr="001863C6">
        <w:rPr>
          <w:rFonts w:ascii="Times" w:hAnsi="Times" w:cs="Times New Roman"/>
          <w:color w:val="000000"/>
        </w:rPr>
        <w:t>Mountain Fresh Plus</w:t>
      </w:r>
      <w:r w:rsidRPr="001863C6">
        <w:rPr>
          <w:rFonts w:ascii="Times" w:hAnsi="Times" w:cs="Times New Roman"/>
          <w:color w:val="000000"/>
        </w:rPr>
        <w:t>’)</w:t>
      </w:r>
      <w:r w:rsidR="00B26832" w:rsidRPr="001863C6">
        <w:rPr>
          <w:rFonts w:ascii="Times" w:hAnsi="Times" w:cs="Times New Roman"/>
          <w:color w:val="000000"/>
        </w:rPr>
        <w:t xml:space="preserve"> </w:t>
      </w:r>
      <w:r w:rsidR="00B26832" w:rsidRPr="001863C6">
        <w:rPr>
          <w:rFonts w:ascii="Times" w:hAnsi="Times" w:cs="Times New Roman"/>
          <w:color w:val="000000"/>
        </w:rPr>
        <w:tab/>
      </w:r>
      <w:r w:rsidR="00B26832" w:rsidRPr="001863C6">
        <w:rPr>
          <w:rFonts w:ascii="Times" w:hAnsi="Times" w:cs="Times New Roman"/>
          <w:color w:val="000000"/>
        </w:rPr>
        <w:tab/>
      </w:r>
      <w:r w:rsidR="00B44706" w:rsidRPr="001863C6">
        <w:rPr>
          <w:rFonts w:ascii="Times" w:hAnsi="Times" w:cs="Times New Roman"/>
          <w:color w:val="000000"/>
        </w:rPr>
        <w:t xml:space="preserve">Bacterial spot; </w:t>
      </w:r>
      <w:r w:rsidR="00B44706" w:rsidRPr="001863C6">
        <w:rPr>
          <w:rFonts w:ascii="Times" w:hAnsi="Times" w:cs="Times New Roman"/>
          <w:i/>
          <w:color w:val="000000"/>
        </w:rPr>
        <w:t>Xanthomonas perforans</w:t>
      </w:r>
    </w:p>
    <w:p w14:paraId="69789C25" w14:textId="77777777" w:rsidR="00B44706" w:rsidRPr="001863C6" w:rsidRDefault="00B44706" w:rsidP="00C4646D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  <w:color w:val="000000"/>
        </w:rPr>
      </w:pPr>
    </w:p>
    <w:p w14:paraId="530B3672" w14:textId="77777777" w:rsidR="00B44706" w:rsidRPr="001863C6" w:rsidRDefault="00B44706" w:rsidP="00C4646D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  <w:color w:val="000000"/>
        </w:rPr>
      </w:pPr>
    </w:p>
    <w:p w14:paraId="2ED3CA5B" w14:textId="48544532" w:rsidR="00CF6F0E" w:rsidRPr="001863C6" w:rsidRDefault="00B44706" w:rsidP="00C4646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 w:rsidRPr="001863C6">
        <w:rPr>
          <w:rFonts w:ascii="Times" w:hAnsi="Times" w:cs="Times New Roman"/>
          <w:color w:val="000000"/>
        </w:rPr>
        <w:lastRenderedPageBreak/>
        <w:t xml:space="preserve">I. M. Meadows, T. C. </w:t>
      </w:r>
      <w:proofErr w:type="spellStart"/>
      <w:r w:rsidRPr="001863C6">
        <w:rPr>
          <w:rFonts w:ascii="Times" w:hAnsi="Times" w:cs="Times New Roman"/>
          <w:color w:val="000000"/>
        </w:rPr>
        <w:t>Clabby</w:t>
      </w:r>
      <w:proofErr w:type="spellEnd"/>
      <w:r w:rsidRPr="001863C6">
        <w:rPr>
          <w:rFonts w:ascii="Times" w:hAnsi="Times" w:cs="Times New Roman"/>
          <w:color w:val="000000"/>
        </w:rPr>
        <w:t xml:space="preserve">, R. K. </w:t>
      </w:r>
      <w:proofErr w:type="spellStart"/>
      <w:r w:rsidRPr="001863C6">
        <w:rPr>
          <w:rFonts w:ascii="Times" w:hAnsi="Times" w:cs="Times New Roman"/>
          <w:color w:val="000000"/>
        </w:rPr>
        <w:t>Rakosky</w:t>
      </w:r>
      <w:proofErr w:type="spellEnd"/>
      <w:r w:rsidRPr="001863C6">
        <w:rPr>
          <w:rFonts w:ascii="Times" w:hAnsi="Times" w:cs="Times New Roman"/>
          <w:color w:val="000000"/>
        </w:rPr>
        <w:t xml:space="preserve">, North Carolina State University, Mountain </w:t>
      </w:r>
      <w:r w:rsidR="008F5710" w:rsidRPr="001863C6">
        <w:rPr>
          <w:rFonts w:ascii="Times" w:hAnsi="Times" w:cs="Times New Roman"/>
          <w:color w:val="000000"/>
        </w:rPr>
        <w:t xml:space="preserve">Horticultural Crops Research and Extension </w:t>
      </w:r>
      <w:r w:rsidRPr="001863C6">
        <w:rPr>
          <w:rFonts w:ascii="Times" w:hAnsi="Times" w:cs="Times New Roman"/>
          <w:color w:val="000000"/>
        </w:rPr>
        <w:t>C</w:t>
      </w:r>
      <w:r w:rsidR="008F5710" w:rsidRPr="001863C6">
        <w:rPr>
          <w:rFonts w:ascii="Times" w:hAnsi="Times" w:cs="Times New Roman"/>
          <w:color w:val="000000"/>
        </w:rPr>
        <w:t xml:space="preserve">enter, </w:t>
      </w:r>
      <w:r w:rsidRPr="001863C6">
        <w:rPr>
          <w:rFonts w:ascii="Times" w:hAnsi="Times" w:cs="Times New Roman"/>
          <w:color w:val="000000"/>
        </w:rPr>
        <w:t xml:space="preserve">455 Research Drive, </w:t>
      </w:r>
      <w:r w:rsidR="008F5710" w:rsidRPr="001863C6">
        <w:rPr>
          <w:rFonts w:ascii="Times" w:hAnsi="Times" w:cs="Times New Roman"/>
          <w:color w:val="000000"/>
        </w:rPr>
        <w:t>Mills River, NC 28759.</w:t>
      </w:r>
      <w:r w:rsidR="00CF6F0E" w:rsidRPr="001863C6">
        <w:rPr>
          <w:rFonts w:ascii="Times" w:hAnsi="Times" w:cs="Times New Roman"/>
          <w:color w:val="000000"/>
        </w:rPr>
        <w:t xml:space="preserve"> </w:t>
      </w:r>
    </w:p>
    <w:p w14:paraId="71AA7C3C" w14:textId="77777777" w:rsidR="00B44706" w:rsidRPr="001863C6" w:rsidRDefault="00B44706" w:rsidP="00C4646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color w:val="000000"/>
        </w:rPr>
        <w:sectPr w:rsidR="00B44706" w:rsidRPr="001863C6" w:rsidSect="00B44706"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14:paraId="33C5473A" w14:textId="64AAA94C" w:rsidR="00CF6F0E" w:rsidRPr="001863C6" w:rsidRDefault="00CF6F0E" w:rsidP="00C4646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 w:rsidRPr="001863C6">
        <w:rPr>
          <w:rFonts w:ascii="Times" w:hAnsi="Times" w:cs="Times"/>
          <w:b/>
          <w:bCs/>
          <w:color w:val="000000"/>
        </w:rPr>
        <w:lastRenderedPageBreak/>
        <w:t xml:space="preserve">Evaluation of </w:t>
      </w:r>
      <w:r w:rsidR="00CC46C3" w:rsidRPr="001863C6">
        <w:rPr>
          <w:rFonts w:ascii="Times" w:hAnsi="Times" w:cs="Times"/>
          <w:b/>
          <w:bCs/>
          <w:color w:val="000000"/>
        </w:rPr>
        <w:t>pesticides</w:t>
      </w:r>
      <w:r w:rsidR="00B44706" w:rsidRPr="001863C6">
        <w:rPr>
          <w:rFonts w:ascii="Times" w:hAnsi="Times" w:cs="Times"/>
          <w:b/>
          <w:bCs/>
          <w:color w:val="000000"/>
        </w:rPr>
        <w:t xml:space="preserve"> for control of bacterial spot on </w:t>
      </w:r>
      <w:r w:rsidR="00CC46C3" w:rsidRPr="001863C6">
        <w:rPr>
          <w:rFonts w:ascii="Times" w:hAnsi="Times" w:cs="Times"/>
          <w:b/>
          <w:bCs/>
          <w:color w:val="000000"/>
        </w:rPr>
        <w:t>tomato transplants in the greenhouse</w:t>
      </w:r>
      <w:r w:rsidR="00B44706" w:rsidRPr="001863C6">
        <w:rPr>
          <w:rFonts w:ascii="Times" w:hAnsi="Times" w:cs="Times"/>
          <w:b/>
          <w:bCs/>
          <w:color w:val="000000"/>
        </w:rPr>
        <w:t>, 2016</w:t>
      </w:r>
      <w:r w:rsidRPr="001863C6">
        <w:rPr>
          <w:rFonts w:ascii="Times" w:hAnsi="Times" w:cs="Times"/>
          <w:b/>
          <w:bCs/>
          <w:color w:val="000000"/>
        </w:rPr>
        <w:t xml:space="preserve">. </w:t>
      </w:r>
    </w:p>
    <w:p w14:paraId="324A42CE" w14:textId="708744B7" w:rsidR="00CF6F0E" w:rsidRPr="001863C6" w:rsidRDefault="00CC46C3" w:rsidP="00C4646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 w:rsidRPr="001863C6">
        <w:rPr>
          <w:rFonts w:ascii="Times" w:hAnsi="Times" w:cs="Times New Roman"/>
          <w:color w:val="000000"/>
        </w:rPr>
        <w:t>Eight</w:t>
      </w:r>
      <w:r w:rsidR="00CF6F0E" w:rsidRPr="001863C6">
        <w:rPr>
          <w:rFonts w:ascii="Times" w:hAnsi="Times" w:cs="Times New Roman"/>
          <w:color w:val="000000"/>
        </w:rPr>
        <w:t xml:space="preserve"> treatments were evaluated in a randomized complete block design with </w:t>
      </w:r>
      <w:r w:rsidRPr="001863C6">
        <w:rPr>
          <w:rFonts w:ascii="Times" w:hAnsi="Times" w:cs="Times New Roman"/>
          <w:color w:val="000000"/>
        </w:rPr>
        <w:t>four</w:t>
      </w:r>
      <w:r w:rsidR="00CF6F0E" w:rsidRPr="001863C6">
        <w:rPr>
          <w:rFonts w:ascii="Times" w:hAnsi="Times" w:cs="Times New Roman"/>
          <w:color w:val="000000"/>
        </w:rPr>
        <w:t xml:space="preserve"> replications at the Mountain Horticultural Crops Research Station</w:t>
      </w:r>
      <w:r w:rsidR="001E7584">
        <w:rPr>
          <w:rFonts w:ascii="Times" w:hAnsi="Times" w:cs="Times New Roman"/>
          <w:color w:val="000000"/>
        </w:rPr>
        <w:t xml:space="preserve"> greenhouse</w:t>
      </w:r>
      <w:r w:rsidR="00CF6F0E" w:rsidRPr="001863C6">
        <w:rPr>
          <w:rFonts w:ascii="Times" w:hAnsi="Times" w:cs="Times New Roman"/>
          <w:color w:val="000000"/>
        </w:rPr>
        <w:t xml:space="preserve"> in </w:t>
      </w:r>
      <w:r w:rsidR="000F5C03" w:rsidRPr="001863C6">
        <w:rPr>
          <w:rFonts w:ascii="Times" w:hAnsi="Times" w:cs="Times New Roman"/>
          <w:color w:val="000000"/>
        </w:rPr>
        <w:t>Mills River</w:t>
      </w:r>
      <w:r w:rsidR="00CF6F0E" w:rsidRPr="001863C6">
        <w:rPr>
          <w:rFonts w:ascii="Times" w:hAnsi="Times" w:cs="Times New Roman"/>
          <w:color w:val="000000"/>
        </w:rPr>
        <w:t xml:space="preserve">, NC. </w:t>
      </w:r>
      <w:r w:rsidRPr="001863C6">
        <w:rPr>
          <w:rFonts w:ascii="Times" w:hAnsi="Times" w:cs="Times New Roman"/>
          <w:color w:val="000000"/>
        </w:rPr>
        <w:t>Tomato seeds were treated with bleach before planting. Seeds were planted on 21 Apr in one flat and transplanted to 2.5</w:t>
      </w:r>
      <w:r w:rsidR="001E7584">
        <w:rPr>
          <w:rFonts w:ascii="Times" w:hAnsi="Times" w:cs="Times New Roman"/>
          <w:color w:val="000000"/>
        </w:rPr>
        <w:t xml:space="preserve"> in</w:t>
      </w:r>
      <w:r w:rsidRPr="001863C6">
        <w:rPr>
          <w:rFonts w:ascii="Times" w:hAnsi="Times" w:cs="Times New Roman"/>
          <w:color w:val="000000"/>
        </w:rPr>
        <w:t xml:space="preserve"> pots on 13 May. Two treatments of six pots per treatment were placed in a tray</w:t>
      </w:r>
      <w:r w:rsidR="00CF6F0E" w:rsidRPr="001863C6">
        <w:rPr>
          <w:rFonts w:ascii="Times" w:hAnsi="Times" w:cs="Times New Roman"/>
          <w:color w:val="000000"/>
        </w:rPr>
        <w:t xml:space="preserve"> </w:t>
      </w:r>
      <w:r w:rsidR="00D44BD7" w:rsidRPr="001863C6">
        <w:rPr>
          <w:rFonts w:ascii="Times" w:hAnsi="Times" w:cs="Times New Roman"/>
          <w:color w:val="000000"/>
        </w:rPr>
        <w:t xml:space="preserve">with one row of empty cells between treatments. Treatment arrangement within the trays was randomized </w:t>
      </w:r>
      <w:r w:rsidRPr="001863C6">
        <w:rPr>
          <w:rFonts w:ascii="Times" w:hAnsi="Times" w:cs="Times New Roman"/>
          <w:color w:val="000000"/>
        </w:rPr>
        <w:t xml:space="preserve">and trays were arranged in a </w:t>
      </w:r>
      <w:r w:rsidR="00D44BD7" w:rsidRPr="001863C6">
        <w:rPr>
          <w:rFonts w:ascii="Times" w:hAnsi="Times" w:cs="Times New Roman"/>
          <w:color w:val="000000"/>
        </w:rPr>
        <w:t xml:space="preserve">randomized </w:t>
      </w:r>
      <w:r w:rsidRPr="001863C6">
        <w:rPr>
          <w:rFonts w:ascii="Times" w:hAnsi="Times" w:cs="Times New Roman"/>
          <w:color w:val="000000"/>
        </w:rPr>
        <w:t>complete block design.</w:t>
      </w:r>
      <w:r w:rsidR="0013480C" w:rsidRPr="001863C6">
        <w:rPr>
          <w:rFonts w:ascii="Times" w:hAnsi="Times" w:cs="Times New Roman"/>
          <w:color w:val="000000"/>
        </w:rPr>
        <w:t xml:space="preserve"> </w:t>
      </w:r>
      <w:r w:rsidR="00D44BD7" w:rsidRPr="001863C6">
        <w:rPr>
          <w:rFonts w:ascii="Times" w:hAnsi="Times" w:cs="Times New Roman"/>
          <w:color w:val="000000"/>
        </w:rPr>
        <w:t xml:space="preserve">Plants were spray inoculated with a suspension of </w:t>
      </w:r>
      <w:r w:rsidR="007B2085" w:rsidRPr="001E7584">
        <w:rPr>
          <w:rFonts w:ascii="Times" w:hAnsi="Times" w:cs="Times New Roman"/>
          <w:i/>
          <w:color w:val="000000"/>
        </w:rPr>
        <w:t>Xanthomonas perforans</w:t>
      </w:r>
      <w:r w:rsidR="007B2085" w:rsidRPr="001863C6">
        <w:rPr>
          <w:rFonts w:ascii="Times" w:hAnsi="Times" w:cs="Times New Roman"/>
          <w:color w:val="000000"/>
        </w:rPr>
        <w:t xml:space="preserve"> at 1 x 10</w:t>
      </w:r>
      <w:r w:rsidR="007B2085" w:rsidRPr="001863C6">
        <w:rPr>
          <w:rFonts w:ascii="Times" w:hAnsi="Times" w:cs="Times New Roman"/>
          <w:color w:val="000000"/>
          <w:vertAlign w:val="superscript"/>
        </w:rPr>
        <w:t>8</w:t>
      </w:r>
      <w:r w:rsidR="007B2085" w:rsidRPr="001863C6">
        <w:rPr>
          <w:rFonts w:ascii="Times" w:hAnsi="Times" w:cs="Times New Roman"/>
          <w:color w:val="000000"/>
        </w:rPr>
        <w:t xml:space="preserve"> colony-forming units per ml on 18 May. T</w:t>
      </w:r>
      <w:r w:rsidR="00CF6F0E" w:rsidRPr="001863C6">
        <w:rPr>
          <w:rFonts w:ascii="Times" w:hAnsi="Times" w:cs="Times New Roman"/>
          <w:color w:val="000000"/>
        </w:rPr>
        <w:t xml:space="preserve">reatments were applied </w:t>
      </w:r>
      <w:r w:rsidR="0017304D" w:rsidRPr="001863C6">
        <w:rPr>
          <w:rFonts w:ascii="Times New Roman" w:hAnsi="Times New Roman" w:cs="Times New Roman"/>
          <w:color w:val="000000"/>
        </w:rPr>
        <w:t xml:space="preserve">using a </w:t>
      </w:r>
      <w:r w:rsidRPr="001863C6">
        <w:rPr>
          <w:rFonts w:ascii="Times New Roman" w:hAnsi="Times New Roman" w:cs="Times New Roman"/>
          <w:color w:val="000000"/>
        </w:rPr>
        <w:t>2-quart garden sprayer and treatments were applied until just before run-off. All t</w:t>
      </w:r>
      <w:r w:rsidR="00EF405A" w:rsidRPr="001863C6">
        <w:rPr>
          <w:rFonts w:ascii="Times New Roman" w:hAnsi="Times New Roman" w:cs="Times New Roman"/>
          <w:color w:val="000000"/>
        </w:rPr>
        <w:t xml:space="preserve">reatments were applied </w:t>
      </w:r>
      <w:r w:rsidR="002026C0" w:rsidRPr="001863C6">
        <w:rPr>
          <w:rFonts w:ascii="Times New Roman" w:hAnsi="Times New Roman" w:cs="Times New Roman"/>
          <w:color w:val="000000"/>
        </w:rPr>
        <w:t xml:space="preserve">on </w:t>
      </w:r>
      <w:r w:rsidR="001E7584">
        <w:rPr>
          <w:rFonts w:ascii="Times New Roman" w:hAnsi="Times New Roman" w:cs="Times New Roman"/>
          <w:color w:val="000000"/>
        </w:rPr>
        <w:t>16, 23</w:t>
      </w:r>
      <w:r w:rsidRPr="001863C6">
        <w:rPr>
          <w:rFonts w:ascii="Times New Roman" w:hAnsi="Times New Roman" w:cs="Times New Roman"/>
          <w:color w:val="000000"/>
        </w:rPr>
        <w:t xml:space="preserve">, and 31 May; </w:t>
      </w:r>
      <w:proofErr w:type="spellStart"/>
      <w:r w:rsidR="00D44BD7" w:rsidRPr="001863C6">
        <w:rPr>
          <w:rFonts w:ascii="Times New Roman" w:hAnsi="Times New Roman" w:cs="Times New Roman"/>
          <w:color w:val="000000"/>
        </w:rPr>
        <w:t>OxiDate</w:t>
      </w:r>
      <w:proofErr w:type="spellEnd"/>
      <w:r w:rsidR="00000A57">
        <w:rPr>
          <w:rFonts w:ascii="Times New Roman" w:hAnsi="Times New Roman" w:cs="Times New Roman"/>
          <w:color w:val="000000"/>
        </w:rPr>
        <w:t xml:space="preserve"> </w:t>
      </w:r>
      <w:r w:rsidR="00D44BD7" w:rsidRPr="001863C6">
        <w:rPr>
          <w:rFonts w:ascii="Times New Roman" w:hAnsi="Times New Roman" w:cs="Times New Roman"/>
          <w:color w:val="000000"/>
        </w:rPr>
        <w:t>+</w:t>
      </w:r>
      <w:r w:rsidR="00000A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44BD7" w:rsidRPr="001863C6">
        <w:rPr>
          <w:rFonts w:ascii="Times New Roman" w:hAnsi="Times New Roman" w:cs="Times New Roman"/>
          <w:color w:val="000000"/>
        </w:rPr>
        <w:t>Aquasil</w:t>
      </w:r>
      <w:proofErr w:type="spellEnd"/>
      <w:r w:rsidR="00D44BD7" w:rsidRPr="001863C6">
        <w:rPr>
          <w:rFonts w:ascii="Times New Roman" w:hAnsi="Times New Roman" w:cs="Times New Roman"/>
          <w:color w:val="000000"/>
        </w:rPr>
        <w:t xml:space="preserve"> (as rotated with </w:t>
      </w:r>
      <w:proofErr w:type="spellStart"/>
      <w:r w:rsidR="00D44BD7" w:rsidRPr="001863C6">
        <w:rPr>
          <w:rFonts w:ascii="Times New Roman" w:hAnsi="Times New Roman" w:cs="Times New Roman"/>
          <w:color w:val="000000"/>
        </w:rPr>
        <w:t>Reglia</w:t>
      </w:r>
      <w:proofErr w:type="spellEnd"/>
      <w:r w:rsidR="00000A57">
        <w:rPr>
          <w:rFonts w:ascii="Times New Roman" w:hAnsi="Times New Roman" w:cs="Times New Roman"/>
          <w:color w:val="000000"/>
        </w:rPr>
        <w:t xml:space="preserve"> </w:t>
      </w:r>
      <w:r w:rsidR="00D44BD7" w:rsidRPr="001863C6">
        <w:rPr>
          <w:rFonts w:ascii="Times New Roman" w:hAnsi="Times New Roman" w:cs="Times New Roman"/>
          <w:color w:val="000000"/>
        </w:rPr>
        <w:t>+</w:t>
      </w:r>
      <w:r w:rsidR="00000A57">
        <w:rPr>
          <w:rFonts w:ascii="Times New Roman" w:hAnsi="Times New Roman" w:cs="Times New Roman"/>
          <w:color w:val="000000"/>
        </w:rPr>
        <w:t xml:space="preserve"> </w:t>
      </w:r>
      <w:r w:rsidR="00D44BD7" w:rsidRPr="001863C6">
        <w:rPr>
          <w:rFonts w:ascii="Times New Roman" w:hAnsi="Times New Roman" w:cs="Times New Roman"/>
          <w:color w:val="000000"/>
        </w:rPr>
        <w:t xml:space="preserve">Cueva) was applied on 19 May. </w:t>
      </w:r>
      <w:r w:rsidR="00CF6F0E" w:rsidRPr="001863C6">
        <w:rPr>
          <w:rFonts w:ascii="Times" w:hAnsi="Times" w:cs="Times New Roman"/>
          <w:color w:val="000000"/>
        </w:rPr>
        <w:t>Disease assessments were made we</w:t>
      </w:r>
      <w:r w:rsidR="00D15C20" w:rsidRPr="001863C6">
        <w:rPr>
          <w:rFonts w:ascii="Times" w:hAnsi="Times" w:cs="Times New Roman"/>
          <w:color w:val="000000"/>
        </w:rPr>
        <w:t xml:space="preserve">ekly using a modified </w:t>
      </w:r>
      <w:proofErr w:type="spellStart"/>
      <w:r w:rsidR="00D15C20" w:rsidRPr="001863C6">
        <w:rPr>
          <w:rFonts w:ascii="Times" w:hAnsi="Times" w:cs="Times New Roman"/>
          <w:color w:val="000000"/>
        </w:rPr>
        <w:t>Horsfall</w:t>
      </w:r>
      <w:proofErr w:type="spellEnd"/>
      <w:r w:rsidR="00D15C20" w:rsidRPr="001863C6">
        <w:rPr>
          <w:rFonts w:ascii="Times" w:hAnsi="Times" w:cs="Times New Roman"/>
          <w:color w:val="000000"/>
        </w:rPr>
        <w:t>-</w:t>
      </w:r>
      <w:r w:rsidR="00CF6F0E" w:rsidRPr="001863C6">
        <w:rPr>
          <w:rFonts w:ascii="Times" w:hAnsi="Times" w:cs="Times New Roman"/>
          <w:color w:val="000000"/>
        </w:rPr>
        <w:t xml:space="preserve">Barratt scale. </w:t>
      </w:r>
      <w:r w:rsidR="00C4646D" w:rsidRPr="001863C6">
        <w:rPr>
          <w:rFonts w:ascii="Times" w:hAnsi="Times" w:cs="Times New Roman"/>
          <w:color w:val="000000"/>
        </w:rPr>
        <w:t>Analysis of variance was performed using the GLM procedure and means were separated by Fisher’s least significant difference test.</w:t>
      </w:r>
    </w:p>
    <w:p w14:paraId="01528BB3" w14:textId="09E79A84" w:rsidR="00CF6F0E" w:rsidRPr="001863C6" w:rsidRDefault="0013480C" w:rsidP="00C4646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 w:rsidRPr="001863C6">
        <w:rPr>
          <w:rFonts w:ascii="Times" w:hAnsi="Times" w:cs="Times New Roman"/>
          <w:color w:val="000000"/>
        </w:rPr>
        <w:t xml:space="preserve">Disease pressure </w:t>
      </w:r>
      <w:r w:rsidR="00176383" w:rsidRPr="001863C6">
        <w:rPr>
          <w:rFonts w:ascii="Times" w:hAnsi="Times" w:cs="Times New Roman"/>
          <w:color w:val="000000"/>
        </w:rPr>
        <w:t>from</w:t>
      </w:r>
      <w:r w:rsidRPr="001863C6">
        <w:rPr>
          <w:rFonts w:ascii="Times" w:hAnsi="Times" w:cs="Times New Roman"/>
          <w:color w:val="000000"/>
        </w:rPr>
        <w:t xml:space="preserve"> bacterial spot</w:t>
      </w:r>
      <w:r w:rsidR="00970603" w:rsidRPr="001863C6">
        <w:rPr>
          <w:rFonts w:ascii="Times" w:hAnsi="Times" w:cs="Times New Roman"/>
          <w:color w:val="000000"/>
        </w:rPr>
        <w:t xml:space="preserve"> was </w:t>
      </w:r>
      <w:r w:rsidR="007B2085" w:rsidRPr="001863C6">
        <w:rPr>
          <w:rFonts w:ascii="Times" w:hAnsi="Times" w:cs="Times New Roman"/>
          <w:color w:val="000000"/>
        </w:rPr>
        <w:t xml:space="preserve">low to moderate. </w:t>
      </w:r>
      <w:r w:rsidR="00970603" w:rsidRPr="001863C6">
        <w:rPr>
          <w:rFonts w:ascii="Times" w:hAnsi="Times" w:cs="Times New Roman"/>
          <w:color w:val="000000"/>
        </w:rPr>
        <w:t>Regalia + Cueva</w:t>
      </w:r>
      <w:r w:rsidR="001863C6">
        <w:rPr>
          <w:rFonts w:ascii="Times" w:hAnsi="Times" w:cs="Times New Roman"/>
          <w:color w:val="000000"/>
        </w:rPr>
        <w:t xml:space="preserve"> alt. </w:t>
      </w:r>
      <w:proofErr w:type="spellStart"/>
      <w:r w:rsidR="001863C6">
        <w:rPr>
          <w:rFonts w:ascii="Times" w:hAnsi="Times" w:cs="Times New Roman"/>
          <w:color w:val="000000"/>
        </w:rPr>
        <w:t>OxiDate</w:t>
      </w:r>
      <w:proofErr w:type="spellEnd"/>
      <w:r w:rsidR="001863C6">
        <w:rPr>
          <w:rFonts w:ascii="Times" w:hAnsi="Times" w:cs="Times New Roman"/>
          <w:color w:val="000000"/>
        </w:rPr>
        <w:t xml:space="preserve"> + </w:t>
      </w:r>
      <w:proofErr w:type="spellStart"/>
      <w:r w:rsidR="001863C6">
        <w:rPr>
          <w:rFonts w:ascii="Times" w:hAnsi="Times" w:cs="Times New Roman"/>
          <w:color w:val="000000"/>
        </w:rPr>
        <w:t>Aquasil</w:t>
      </w:r>
      <w:proofErr w:type="spellEnd"/>
      <w:r w:rsidR="001863C6">
        <w:rPr>
          <w:rFonts w:ascii="Times" w:hAnsi="Times" w:cs="Times New Roman"/>
          <w:color w:val="000000"/>
        </w:rPr>
        <w:t xml:space="preserve"> and</w:t>
      </w:r>
      <w:r w:rsidR="00614694" w:rsidRPr="001863C6">
        <w:rPr>
          <w:rFonts w:ascii="Times" w:hAnsi="Times" w:cs="Times New Roman"/>
          <w:color w:val="000000"/>
        </w:rPr>
        <w:t xml:space="preserve"> Kocide + Tanos</w:t>
      </w:r>
      <w:r w:rsidR="001863C6">
        <w:rPr>
          <w:rFonts w:ascii="Times" w:hAnsi="Times" w:cs="Times New Roman"/>
          <w:color w:val="000000"/>
        </w:rPr>
        <w:t xml:space="preserve"> provided the same level of disease control as the non-inoculated control. </w:t>
      </w:r>
      <w:r w:rsidR="009C5A40">
        <w:rPr>
          <w:rFonts w:ascii="Times" w:hAnsi="Times" w:cs="Times New Roman"/>
          <w:color w:val="000000"/>
        </w:rPr>
        <w:t xml:space="preserve">Mixed or alternated treatments provided significantly better control over each pesticide applied alone suggesting synergistic effects of combined active ingredients (e.g., </w:t>
      </w:r>
      <w:proofErr w:type="spellStart"/>
      <w:r w:rsidR="009C5A40">
        <w:rPr>
          <w:rFonts w:ascii="Times" w:hAnsi="Times" w:cs="Times New Roman"/>
          <w:color w:val="000000"/>
        </w:rPr>
        <w:t>Reglia</w:t>
      </w:r>
      <w:proofErr w:type="spellEnd"/>
      <w:r w:rsidR="009C5A40">
        <w:rPr>
          <w:rFonts w:ascii="Times" w:hAnsi="Times" w:cs="Times New Roman"/>
          <w:color w:val="000000"/>
        </w:rPr>
        <w:t xml:space="preserve"> + Cueva alt. </w:t>
      </w:r>
      <w:proofErr w:type="spellStart"/>
      <w:r w:rsidR="009C5A40">
        <w:rPr>
          <w:rFonts w:ascii="Times" w:hAnsi="Times" w:cs="Times New Roman"/>
          <w:color w:val="000000"/>
        </w:rPr>
        <w:t>OxiDate</w:t>
      </w:r>
      <w:proofErr w:type="spellEnd"/>
      <w:r w:rsidR="009C5A40">
        <w:rPr>
          <w:rFonts w:ascii="Times" w:hAnsi="Times" w:cs="Times New Roman"/>
          <w:color w:val="000000"/>
        </w:rPr>
        <w:t xml:space="preserve"> + </w:t>
      </w:r>
      <w:proofErr w:type="spellStart"/>
      <w:r w:rsidR="009C5A40">
        <w:rPr>
          <w:rFonts w:ascii="Times" w:hAnsi="Times" w:cs="Times New Roman"/>
          <w:color w:val="000000"/>
        </w:rPr>
        <w:t>Aquasil</w:t>
      </w:r>
      <w:proofErr w:type="spellEnd"/>
      <w:r w:rsidR="009C5A40">
        <w:rPr>
          <w:rFonts w:ascii="Times" w:hAnsi="Times" w:cs="Times New Roman"/>
          <w:color w:val="000000"/>
        </w:rPr>
        <w:t xml:space="preserve"> and Kocide + Tanos). </w:t>
      </w:r>
      <w:r w:rsidR="00970603" w:rsidRPr="001863C6">
        <w:rPr>
          <w:rFonts w:ascii="Times" w:hAnsi="Times" w:cs="Times New Roman"/>
          <w:color w:val="000000"/>
        </w:rPr>
        <w:t>No phytotoxicity was observed.</w:t>
      </w:r>
      <w:r w:rsidR="001E7584">
        <w:rPr>
          <w:rFonts w:ascii="Times" w:hAnsi="Times" w:cs="Times New Roman"/>
          <w:color w:val="000000"/>
        </w:rPr>
        <w:t xml:space="preserve"> Treatments are sorted by AUDPC in the table.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389"/>
        <w:gridCol w:w="879"/>
        <w:gridCol w:w="855"/>
      </w:tblGrid>
      <w:tr w:rsidR="007B2085" w:rsidRPr="001863C6" w14:paraId="743C7168" w14:textId="226F22D5" w:rsidTr="004251F0">
        <w:trPr>
          <w:trHeight w:val="503"/>
        </w:trPr>
        <w:tc>
          <w:tcPr>
            <w:tcW w:w="2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31C5E" w14:textId="750C7A0E" w:rsidR="007B2085" w:rsidRPr="001863C6" w:rsidRDefault="007B2085" w:rsidP="009C5A4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 xml:space="preserve">Treatment, </w:t>
            </w:r>
            <w:proofErr w:type="spellStart"/>
            <w:r w:rsidRPr="001863C6">
              <w:rPr>
                <w:rFonts w:ascii="Times" w:hAnsi="Times" w:cs="Times New Roman"/>
                <w:color w:val="000000"/>
              </w:rPr>
              <w:t>amount</w:t>
            </w:r>
            <w:r w:rsidRPr="001863C6">
              <w:rPr>
                <w:rFonts w:ascii="Times" w:hAnsi="Times" w:cs="Times New Roman"/>
                <w:color w:val="000000"/>
                <w:vertAlign w:val="superscript"/>
              </w:rPr>
              <w:t>z</w:t>
            </w:r>
            <w:proofErr w:type="spellEnd"/>
          </w:p>
        </w:tc>
        <w:tc>
          <w:tcPr>
            <w:tcW w:w="19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D97E8" w14:textId="581DBF9C" w:rsidR="007B2085" w:rsidRPr="001863C6" w:rsidRDefault="007B2085" w:rsidP="004251F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Days after first application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94179" w14:textId="206D29B4" w:rsidR="007B2085" w:rsidRPr="001863C6" w:rsidRDefault="007B2085" w:rsidP="0017638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</w:rPr>
            </w:pPr>
            <w:proofErr w:type="spellStart"/>
            <w:r w:rsidRPr="001863C6">
              <w:rPr>
                <w:rFonts w:ascii="Times" w:hAnsi="Times" w:cs="Times New Roman"/>
                <w:color w:val="000000"/>
              </w:rPr>
              <w:t>AUDPC</w:t>
            </w:r>
            <w:r w:rsidRPr="001863C6">
              <w:rPr>
                <w:rFonts w:ascii="Times" w:hAnsi="Times" w:cs="Times New Roman"/>
                <w:color w:val="000000"/>
                <w:vertAlign w:val="superscript"/>
              </w:rPr>
              <w:t>y</w:t>
            </w:r>
            <w:r w:rsidR="006D565D" w:rsidRPr="00012454">
              <w:rPr>
                <w:rFonts w:ascii="Times" w:hAnsi="Times" w:cs="Times New Roman"/>
                <w:color w:val="000000"/>
                <w:vertAlign w:val="superscript"/>
              </w:rPr>
              <w:t>x</w:t>
            </w:r>
            <w:proofErr w:type="spellEnd"/>
          </w:p>
        </w:tc>
      </w:tr>
      <w:tr w:rsidR="007B2085" w:rsidRPr="001863C6" w14:paraId="06FBC09B" w14:textId="1099B40C" w:rsidTr="004251F0">
        <w:trPr>
          <w:trHeight w:val="144"/>
        </w:trPr>
        <w:tc>
          <w:tcPr>
            <w:tcW w:w="2221" w:type="pct"/>
            <w:tcBorders>
              <w:top w:val="single" w:sz="4" w:space="0" w:color="auto"/>
              <w:bottom w:val="single" w:sz="4" w:space="0" w:color="auto"/>
            </w:tcBorders>
          </w:tcPr>
          <w:p w14:paraId="4DD7889C" w14:textId="0E7EAE2B" w:rsidR="007B2085" w:rsidRPr="001863C6" w:rsidRDefault="007B2085" w:rsidP="00C464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Water, non-inoculated control</w:t>
            </w:r>
          </w:p>
        </w:tc>
        <w:tc>
          <w:tcPr>
            <w:tcW w:w="19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4004B" w14:textId="6D8A0489" w:rsidR="007B2085" w:rsidRPr="001863C6" w:rsidRDefault="00AE51F5" w:rsidP="004251F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0,7,15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09CD1" w14:textId="5B774ADD" w:rsidR="007B2085" w:rsidRPr="001863C6" w:rsidRDefault="007A2750" w:rsidP="000D14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F6A32" w14:textId="6A749A88" w:rsidR="007B2085" w:rsidRPr="001863C6" w:rsidRDefault="007A2750" w:rsidP="000D14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b</w:t>
            </w:r>
          </w:p>
        </w:tc>
      </w:tr>
      <w:tr w:rsidR="007A2750" w:rsidRPr="001863C6" w14:paraId="2361286B" w14:textId="77777777" w:rsidTr="004251F0">
        <w:trPr>
          <w:trHeight w:val="144"/>
        </w:trPr>
        <w:tc>
          <w:tcPr>
            <w:tcW w:w="2221" w:type="pct"/>
            <w:tcBorders>
              <w:top w:val="single" w:sz="4" w:space="0" w:color="auto"/>
              <w:bottom w:val="single" w:sz="4" w:space="0" w:color="auto"/>
            </w:tcBorders>
          </w:tcPr>
          <w:p w14:paraId="76CDFE68" w14:textId="151F6C75" w:rsidR="007A2750" w:rsidRPr="001863C6" w:rsidRDefault="007A2750" w:rsidP="007A27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Regalia 2.0 qt</w:t>
            </w:r>
          </w:p>
          <w:p w14:paraId="57A5E593" w14:textId="71908850" w:rsidR="007A2750" w:rsidRPr="001863C6" w:rsidRDefault="007A2750" w:rsidP="007A2750">
            <w:pPr>
              <w:widowControl w:val="0"/>
              <w:autoSpaceDE w:val="0"/>
              <w:autoSpaceDN w:val="0"/>
              <w:adjustRightInd w:val="0"/>
              <w:spacing w:after="240"/>
              <w:ind w:left="180"/>
              <w:contextualSpacing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Cueva 2.0 gal</w:t>
            </w:r>
          </w:p>
          <w:p w14:paraId="126513BE" w14:textId="1F635F53" w:rsidR="007A2750" w:rsidRPr="001863C6" w:rsidRDefault="007A2750" w:rsidP="007A2750">
            <w:pPr>
              <w:widowControl w:val="0"/>
              <w:autoSpaceDE w:val="0"/>
              <w:autoSpaceDN w:val="0"/>
              <w:adjustRightInd w:val="0"/>
              <w:spacing w:after="240"/>
              <w:ind w:left="180"/>
              <w:contextualSpacing/>
              <w:rPr>
                <w:rFonts w:ascii="Times" w:hAnsi="Times" w:cs="Times New Roman"/>
                <w:color w:val="000000"/>
              </w:rPr>
            </w:pPr>
            <w:proofErr w:type="spellStart"/>
            <w:proofErr w:type="gramStart"/>
            <w:r w:rsidRPr="00012454">
              <w:rPr>
                <w:rFonts w:ascii="Times" w:hAnsi="Times" w:cs="Times New Roman"/>
                <w:color w:val="000000"/>
              </w:rPr>
              <w:t>OxiDate</w:t>
            </w:r>
            <w:proofErr w:type="spellEnd"/>
            <w:r w:rsidRPr="00012454">
              <w:rPr>
                <w:rFonts w:ascii="Times" w:hAnsi="Times" w:cs="Times New Roman"/>
                <w:color w:val="000000"/>
                <w:vertAlign w:val="superscript"/>
              </w:rPr>
              <w:t xml:space="preserve"> </w:t>
            </w:r>
            <w:r w:rsidRPr="001863C6">
              <w:rPr>
                <w:rFonts w:ascii="Times" w:hAnsi="Times" w:cs="Times New Roman"/>
                <w:color w:val="000000"/>
              </w:rPr>
              <w:t xml:space="preserve"> 2.0</w:t>
            </w:r>
            <w:proofErr w:type="gramEnd"/>
            <w:r w:rsidRPr="001863C6">
              <w:rPr>
                <w:rFonts w:ascii="Times" w:hAnsi="Times" w:cs="Times New Roman"/>
                <w:color w:val="000000"/>
              </w:rPr>
              <w:t xml:space="preserve"> 1 gal/100 gal</w:t>
            </w:r>
          </w:p>
          <w:p w14:paraId="0F6D3932" w14:textId="7C123C1C" w:rsidR="007A2750" w:rsidRPr="001863C6" w:rsidRDefault="007A2750" w:rsidP="001E7584">
            <w:pPr>
              <w:widowControl w:val="0"/>
              <w:autoSpaceDE w:val="0"/>
              <w:autoSpaceDN w:val="0"/>
              <w:adjustRightInd w:val="0"/>
              <w:spacing w:after="240"/>
              <w:ind w:left="180"/>
              <w:contextualSpacing/>
              <w:rPr>
                <w:rFonts w:ascii="Times" w:hAnsi="Times" w:cs="Times New Roman"/>
                <w:color w:val="000000"/>
              </w:rPr>
            </w:pPr>
            <w:proofErr w:type="spellStart"/>
            <w:r w:rsidRPr="001863C6">
              <w:rPr>
                <w:rFonts w:ascii="Times" w:hAnsi="Times" w:cs="Times New Roman"/>
                <w:color w:val="000000"/>
              </w:rPr>
              <w:t>Aquasil</w:t>
            </w:r>
            <w:proofErr w:type="spellEnd"/>
            <w:r w:rsidRPr="001863C6">
              <w:rPr>
                <w:rFonts w:ascii="Times" w:hAnsi="Times" w:cs="Times New Roman"/>
                <w:color w:val="000000"/>
              </w:rPr>
              <w:t xml:space="preserve"> 0.07 gal/100 gal</w:t>
            </w:r>
          </w:p>
        </w:tc>
        <w:tc>
          <w:tcPr>
            <w:tcW w:w="19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CFCF2" w14:textId="566B7C4F" w:rsidR="007A2750" w:rsidRPr="001863C6" w:rsidRDefault="00AE51F5" w:rsidP="004251F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0,7</w:t>
            </w:r>
          </w:p>
          <w:p w14:paraId="748CB591" w14:textId="77777777" w:rsidR="00AE51F5" w:rsidRPr="001863C6" w:rsidRDefault="00AE51F5" w:rsidP="004251F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0,7</w:t>
            </w:r>
          </w:p>
          <w:p w14:paraId="0CE7FF79" w14:textId="77777777" w:rsidR="00AE51F5" w:rsidRPr="001863C6" w:rsidRDefault="00AE51F5" w:rsidP="004251F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3,15</w:t>
            </w:r>
          </w:p>
          <w:p w14:paraId="6C37E510" w14:textId="332DEDF0" w:rsidR="00AE51F5" w:rsidRPr="001863C6" w:rsidRDefault="00AE51F5" w:rsidP="004251F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3,15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14:paraId="375B95F7" w14:textId="16593364" w:rsidR="007A2750" w:rsidRPr="001863C6" w:rsidRDefault="007A2750" w:rsidP="007A27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13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4F950803" w14:textId="771550F3" w:rsidR="007A2750" w:rsidRPr="001863C6" w:rsidRDefault="007A2750" w:rsidP="007A27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b</w:t>
            </w:r>
          </w:p>
        </w:tc>
      </w:tr>
      <w:tr w:rsidR="007A2750" w:rsidRPr="001863C6" w14:paraId="3E5CF95D" w14:textId="77777777" w:rsidTr="004251F0">
        <w:trPr>
          <w:trHeight w:val="144"/>
        </w:trPr>
        <w:tc>
          <w:tcPr>
            <w:tcW w:w="2221" w:type="pct"/>
            <w:tcBorders>
              <w:top w:val="single" w:sz="4" w:space="0" w:color="auto"/>
              <w:bottom w:val="single" w:sz="4" w:space="0" w:color="auto"/>
            </w:tcBorders>
          </w:tcPr>
          <w:p w14:paraId="74F88043" w14:textId="794B3ED5" w:rsidR="007A2750" w:rsidRPr="001863C6" w:rsidRDefault="007A2750" w:rsidP="007A27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Kocide 3000</w:t>
            </w:r>
            <w:r w:rsidR="001E7584">
              <w:rPr>
                <w:rFonts w:ascii="Times" w:hAnsi="Times" w:cs="Times New Roman"/>
                <w:color w:val="000000"/>
              </w:rPr>
              <w:t xml:space="preserve"> 46.1DF</w:t>
            </w:r>
            <w:r w:rsidRPr="001863C6">
              <w:rPr>
                <w:rFonts w:ascii="Times" w:hAnsi="Times" w:cs="Times New Roman"/>
                <w:color w:val="000000"/>
              </w:rPr>
              <w:t xml:space="preserve"> 1.7 lb</w:t>
            </w:r>
          </w:p>
          <w:p w14:paraId="2E4717F7" w14:textId="2163A635" w:rsidR="007A2750" w:rsidRPr="001863C6" w:rsidRDefault="007A2750" w:rsidP="001E7584">
            <w:pPr>
              <w:widowControl w:val="0"/>
              <w:autoSpaceDE w:val="0"/>
              <w:autoSpaceDN w:val="0"/>
              <w:adjustRightInd w:val="0"/>
              <w:spacing w:after="240"/>
              <w:ind w:left="180"/>
              <w:contextualSpacing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Tanos 50DF 8 oz</w:t>
            </w:r>
          </w:p>
        </w:tc>
        <w:tc>
          <w:tcPr>
            <w:tcW w:w="19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10C2B" w14:textId="77777777" w:rsidR="007A2750" w:rsidRPr="001863C6" w:rsidRDefault="00AE51F5" w:rsidP="004251F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0,7,15</w:t>
            </w:r>
          </w:p>
          <w:p w14:paraId="786F39B1" w14:textId="266CB8C5" w:rsidR="00AE51F5" w:rsidRPr="001863C6" w:rsidRDefault="00AE51F5" w:rsidP="004251F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b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0,7,15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14:paraId="5E0528C5" w14:textId="2C5C3F73" w:rsidR="007A2750" w:rsidRPr="001863C6" w:rsidRDefault="007A2750" w:rsidP="007A27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16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06F9F5F2" w14:textId="69FAF385" w:rsidR="007A2750" w:rsidRPr="001863C6" w:rsidRDefault="007A2750" w:rsidP="007A27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b</w:t>
            </w:r>
          </w:p>
        </w:tc>
      </w:tr>
      <w:tr w:rsidR="007A2750" w:rsidRPr="001863C6" w14:paraId="62745FAF" w14:textId="77777777" w:rsidTr="004251F0">
        <w:trPr>
          <w:trHeight w:val="144"/>
        </w:trPr>
        <w:tc>
          <w:tcPr>
            <w:tcW w:w="2221" w:type="pct"/>
            <w:tcBorders>
              <w:top w:val="single" w:sz="4" w:space="0" w:color="auto"/>
              <w:bottom w:val="single" w:sz="4" w:space="0" w:color="auto"/>
            </w:tcBorders>
          </w:tcPr>
          <w:p w14:paraId="4500BF5E" w14:textId="62425BA3" w:rsidR="007A2750" w:rsidRPr="001863C6" w:rsidRDefault="001E7584" w:rsidP="001E758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</w:rPr>
            </w:pPr>
            <w:r>
              <w:rPr>
                <w:rFonts w:ascii="Times" w:hAnsi="Times" w:cs="Times New Roman"/>
                <w:color w:val="000000"/>
              </w:rPr>
              <w:t xml:space="preserve">Cueva </w:t>
            </w:r>
            <w:r w:rsidR="007A2750" w:rsidRPr="001863C6">
              <w:rPr>
                <w:rFonts w:ascii="Times" w:hAnsi="Times" w:cs="Times New Roman"/>
                <w:color w:val="000000"/>
              </w:rPr>
              <w:t>2.0 gal/100gal</w:t>
            </w:r>
          </w:p>
        </w:tc>
        <w:tc>
          <w:tcPr>
            <w:tcW w:w="19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A4C05" w14:textId="33F92DAA" w:rsidR="007A2750" w:rsidRPr="001863C6" w:rsidRDefault="00AE51F5" w:rsidP="004251F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0,7,15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3319C" w14:textId="278261B8" w:rsidR="007A2750" w:rsidRPr="001863C6" w:rsidRDefault="007A2750" w:rsidP="000D14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26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306B0" w14:textId="4FEB850B" w:rsidR="007A2750" w:rsidRPr="001863C6" w:rsidRDefault="007A2750" w:rsidP="000D14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ab</w:t>
            </w:r>
          </w:p>
        </w:tc>
      </w:tr>
      <w:tr w:rsidR="007B2085" w:rsidRPr="001863C6" w14:paraId="1A1B8CB4" w14:textId="67641D50" w:rsidTr="004251F0">
        <w:trPr>
          <w:trHeight w:val="144"/>
        </w:trPr>
        <w:tc>
          <w:tcPr>
            <w:tcW w:w="2221" w:type="pct"/>
            <w:tcBorders>
              <w:top w:val="single" w:sz="4" w:space="0" w:color="auto"/>
              <w:bottom w:val="single" w:sz="4" w:space="0" w:color="auto"/>
            </w:tcBorders>
          </w:tcPr>
          <w:p w14:paraId="3B540838" w14:textId="56B6679D" w:rsidR="007B2085" w:rsidRPr="001863C6" w:rsidRDefault="007A2750" w:rsidP="001E758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 xml:space="preserve">Kocide 3000 </w:t>
            </w:r>
            <w:r w:rsidR="001E7584">
              <w:rPr>
                <w:rFonts w:ascii="Times" w:hAnsi="Times" w:cs="Times New Roman"/>
                <w:color w:val="000000"/>
              </w:rPr>
              <w:t xml:space="preserve">46.1DF </w:t>
            </w:r>
            <w:r w:rsidRPr="001863C6">
              <w:rPr>
                <w:rFonts w:ascii="Times" w:hAnsi="Times" w:cs="Times New Roman"/>
                <w:color w:val="000000"/>
              </w:rPr>
              <w:t>1.7 lb</w:t>
            </w:r>
          </w:p>
        </w:tc>
        <w:tc>
          <w:tcPr>
            <w:tcW w:w="19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21FA2" w14:textId="7959B343" w:rsidR="007B2085" w:rsidRPr="001863C6" w:rsidRDefault="00AE51F5" w:rsidP="004251F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0,7,15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DECAE0" w14:textId="634328D8" w:rsidR="007B2085" w:rsidRPr="001863C6" w:rsidRDefault="007A2750" w:rsidP="003828A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28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574F56" w14:textId="75DA65F5" w:rsidR="007B2085" w:rsidRPr="001863C6" w:rsidRDefault="007A2750" w:rsidP="003828A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ab</w:t>
            </w:r>
          </w:p>
        </w:tc>
      </w:tr>
      <w:tr w:rsidR="007A2750" w:rsidRPr="001863C6" w14:paraId="71BFB798" w14:textId="77777777" w:rsidTr="004251F0">
        <w:trPr>
          <w:trHeight w:val="144"/>
        </w:trPr>
        <w:tc>
          <w:tcPr>
            <w:tcW w:w="2221" w:type="pct"/>
            <w:tcBorders>
              <w:top w:val="single" w:sz="4" w:space="0" w:color="auto"/>
              <w:bottom w:val="single" w:sz="4" w:space="0" w:color="auto"/>
            </w:tcBorders>
          </w:tcPr>
          <w:p w14:paraId="1813C926" w14:textId="09E797B1" w:rsidR="007A2750" w:rsidRPr="001863C6" w:rsidRDefault="007A2750" w:rsidP="001E758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Tanos 50DF 8 oz</w:t>
            </w:r>
          </w:p>
        </w:tc>
        <w:tc>
          <w:tcPr>
            <w:tcW w:w="19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8851B" w14:textId="013F0FBF" w:rsidR="007A2750" w:rsidRPr="001863C6" w:rsidRDefault="00AE51F5" w:rsidP="004251F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0,7,15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B72F88" w14:textId="45220300" w:rsidR="007A2750" w:rsidRPr="001863C6" w:rsidRDefault="00A55882" w:rsidP="003828A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30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A73C42" w14:textId="44D9F0C4" w:rsidR="007A2750" w:rsidRPr="001863C6" w:rsidRDefault="00A55882" w:rsidP="003828A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ab</w:t>
            </w:r>
          </w:p>
        </w:tc>
      </w:tr>
      <w:tr w:rsidR="007A2750" w:rsidRPr="001863C6" w14:paraId="43DCA09D" w14:textId="77777777" w:rsidTr="004251F0">
        <w:trPr>
          <w:trHeight w:val="144"/>
        </w:trPr>
        <w:tc>
          <w:tcPr>
            <w:tcW w:w="2221" w:type="pct"/>
            <w:tcBorders>
              <w:top w:val="single" w:sz="4" w:space="0" w:color="auto"/>
              <w:bottom w:val="single" w:sz="4" w:space="0" w:color="auto"/>
            </w:tcBorders>
          </w:tcPr>
          <w:p w14:paraId="28B98D25" w14:textId="6101DC0A" w:rsidR="00A55882" w:rsidRPr="001863C6" w:rsidRDefault="00A55882" w:rsidP="00A5588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</w:rPr>
            </w:pPr>
            <w:proofErr w:type="spellStart"/>
            <w:r w:rsidRPr="00012454">
              <w:rPr>
                <w:rFonts w:ascii="Times" w:hAnsi="Times" w:cs="Times New Roman"/>
                <w:color w:val="000000"/>
              </w:rPr>
              <w:t>OxiDate</w:t>
            </w:r>
            <w:proofErr w:type="spellEnd"/>
            <w:r w:rsidRPr="00012454">
              <w:rPr>
                <w:rFonts w:ascii="Times" w:hAnsi="Times" w:cs="Times New Roman"/>
                <w:color w:val="000000"/>
              </w:rPr>
              <w:t xml:space="preserve"> 2.0 1</w:t>
            </w:r>
            <w:r w:rsidRPr="001863C6">
              <w:rPr>
                <w:rFonts w:ascii="Times" w:hAnsi="Times" w:cs="Times New Roman"/>
                <w:color w:val="000000"/>
              </w:rPr>
              <w:t xml:space="preserve"> gal/100 gal</w:t>
            </w:r>
          </w:p>
          <w:p w14:paraId="6E91B644" w14:textId="341734A4" w:rsidR="007A2750" w:rsidRPr="001863C6" w:rsidRDefault="00A55882" w:rsidP="001E7584">
            <w:pPr>
              <w:widowControl w:val="0"/>
              <w:autoSpaceDE w:val="0"/>
              <w:autoSpaceDN w:val="0"/>
              <w:adjustRightInd w:val="0"/>
              <w:spacing w:after="240"/>
              <w:ind w:left="180"/>
              <w:contextualSpacing/>
              <w:rPr>
                <w:rFonts w:ascii="Times" w:hAnsi="Times" w:cs="Times New Roman"/>
                <w:color w:val="000000"/>
              </w:rPr>
            </w:pPr>
            <w:proofErr w:type="spellStart"/>
            <w:r w:rsidRPr="001863C6">
              <w:rPr>
                <w:rFonts w:ascii="Times" w:hAnsi="Times" w:cs="Times New Roman"/>
                <w:color w:val="000000"/>
              </w:rPr>
              <w:t>Aquasil</w:t>
            </w:r>
            <w:proofErr w:type="spellEnd"/>
            <w:r w:rsidRPr="001863C6">
              <w:rPr>
                <w:rFonts w:ascii="Times" w:hAnsi="Times" w:cs="Times New Roman"/>
                <w:color w:val="000000"/>
              </w:rPr>
              <w:t xml:space="preserve"> 0.07 gal/100 gal</w:t>
            </w:r>
          </w:p>
        </w:tc>
        <w:tc>
          <w:tcPr>
            <w:tcW w:w="19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AE481" w14:textId="77777777" w:rsidR="007A2750" w:rsidRPr="001863C6" w:rsidRDefault="00AE51F5" w:rsidP="004251F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0,7,15</w:t>
            </w:r>
          </w:p>
          <w:p w14:paraId="670A4935" w14:textId="3ACD1BE1" w:rsidR="00AE51F5" w:rsidRPr="001863C6" w:rsidRDefault="00AE51F5" w:rsidP="004251F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0,7,15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14:paraId="10A775DC" w14:textId="50939B1E" w:rsidR="007A2750" w:rsidRPr="001863C6" w:rsidRDefault="00A55882" w:rsidP="00A5588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52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03613937" w14:textId="49B2BDEA" w:rsidR="007A2750" w:rsidRPr="001863C6" w:rsidRDefault="00A55882" w:rsidP="00A5588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a</w:t>
            </w:r>
          </w:p>
        </w:tc>
      </w:tr>
      <w:tr w:rsidR="007B2085" w:rsidRPr="001863C6" w14:paraId="36C2DB89" w14:textId="61B43C45" w:rsidTr="004251F0">
        <w:trPr>
          <w:trHeight w:val="144"/>
        </w:trPr>
        <w:tc>
          <w:tcPr>
            <w:tcW w:w="2221" w:type="pct"/>
            <w:tcBorders>
              <w:top w:val="single" w:sz="4" w:space="0" w:color="auto"/>
              <w:bottom w:val="single" w:sz="4" w:space="0" w:color="auto"/>
            </w:tcBorders>
          </w:tcPr>
          <w:p w14:paraId="0318BF66" w14:textId="028F3E56" w:rsidR="007B2085" w:rsidRPr="001863C6" w:rsidRDefault="007B2085" w:rsidP="00C4646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Water, inoculated control</w:t>
            </w:r>
          </w:p>
        </w:tc>
        <w:tc>
          <w:tcPr>
            <w:tcW w:w="19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B0873" w14:textId="69B3599B" w:rsidR="007B2085" w:rsidRPr="001863C6" w:rsidRDefault="00AE51F5" w:rsidP="004251F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0,7,15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34B4C" w14:textId="17BE276D" w:rsidR="007B2085" w:rsidRPr="001863C6" w:rsidRDefault="00A55882" w:rsidP="000D14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right"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52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96D4E" w14:textId="46B9E64F" w:rsidR="007B2085" w:rsidRPr="001863C6" w:rsidRDefault="00A55882" w:rsidP="00A5588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</w:rPr>
            </w:pPr>
            <w:r w:rsidRPr="001863C6">
              <w:rPr>
                <w:rFonts w:ascii="Times" w:hAnsi="Times" w:cs="Times New Roman"/>
                <w:color w:val="000000"/>
              </w:rPr>
              <w:t>a</w:t>
            </w:r>
          </w:p>
        </w:tc>
      </w:tr>
      <w:tr w:rsidR="007B2085" w:rsidRPr="001863C6" w14:paraId="08B3E657" w14:textId="299E2A2F" w:rsidTr="004251F0">
        <w:trPr>
          <w:trHeight w:val="144"/>
        </w:trPr>
        <w:tc>
          <w:tcPr>
            <w:tcW w:w="2221" w:type="pct"/>
            <w:tcBorders>
              <w:top w:val="single" w:sz="4" w:space="0" w:color="auto"/>
            </w:tcBorders>
          </w:tcPr>
          <w:p w14:paraId="32239504" w14:textId="00F159A0" w:rsidR="007B2085" w:rsidRPr="001863C6" w:rsidRDefault="007B2085" w:rsidP="00B82F04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 New Roman"/>
                <w:color w:val="000000"/>
              </w:rPr>
            </w:pPr>
            <w:proofErr w:type="spellStart"/>
            <w:r w:rsidRPr="001863C6">
              <w:rPr>
                <w:rFonts w:ascii="Times" w:hAnsi="Times" w:cs="Times New Roman"/>
                <w:color w:val="000000"/>
              </w:rPr>
              <w:t>LSD</w:t>
            </w:r>
            <w:r w:rsidR="006D565D">
              <w:rPr>
                <w:rFonts w:ascii="Times" w:hAnsi="Times" w:cs="Times New Roman"/>
                <w:color w:val="000000"/>
                <w:vertAlign w:val="superscript"/>
              </w:rPr>
              <w:t>w</w:t>
            </w:r>
            <w:proofErr w:type="spellEnd"/>
          </w:p>
        </w:tc>
        <w:tc>
          <w:tcPr>
            <w:tcW w:w="1992" w:type="pct"/>
            <w:tcBorders>
              <w:top w:val="single" w:sz="4" w:space="0" w:color="auto"/>
            </w:tcBorders>
          </w:tcPr>
          <w:p w14:paraId="61140557" w14:textId="6EEA45FC" w:rsidR="007B2085" w:rsidRPr="001863C6" w:rsidRDefault="004251F0" w:rsidP="004251F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</w:rPr>
            </w:pPr>
            <w:r>
              <w:rPr>
                <w:rFonts w:ascii="Times" w:hAnsi="Times" w:cs="Times New Roman"/>
                <w:color w:val="000000"/>
              </w:rPr>
              <w:t>N/A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</w:tcBorders>
            <w:vAlign w:val="center"/>
          </w:tcPr>
          <w:p w14:paraId="0D2BF61B" w14:textId="56F2BE49" w:rsidR="007B2085" w:rsidRPr="001863C6" w:rsidRDefault="003211D1" w:rsidP="000D14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 New Roman"/>
                <w:color w:val="000000"/>
              </w:rPr>
            </w:pPr>
            <w:r>
              <w:rPr>
                <w:rFonts w:ascii="Times" w:hAnsi="Times" w:cs="Times New Roman"/>
                <w:color w:val="000000"/>
              </w:rPr>
              <w:t>34</w:t>
            </w:r>
          </w:p>
        </w:tc>
      </w:tr>
    </w:tbl>
    <w:p w14:paraId="5B903F71" w14:textId="65A2DF6E" w:rsidR="00176383" w:rsidRPr="001863C6" w:rsidRDefault="00C4646D" w:rsidP="0017638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  <w:proofErr w:type="spellStart"/>
      <w:proofErr w:type="gramStart"/>
      <w:r w:rsidRPr="001863C6">
        <w:rPr>
          <w:rFonts w:ascii="Times" w:hAnsi="Times" w:cs="Times New Roman"/>
          <w:color w:val="000000"/>
          <w:vertAlign w:val="superscript"/>
        </w:rPr>
        <w:t>z</w:t>
      </w:r>
      <w:r w:rsidR="00176383" w:rsidRPr="001863C6">
        <w:rPr>
          <w:rFonts w:ascii="Times" w:hAnsi="Times" w:cs="Times New Roman"/>
          <w:color w:val="000000"/>
        </w:rPr>
        <w:t>Amount</w:t>
      </w:r>
      <w:proofErr w:type="spellEnd"/>
      <w:proofErr w:type="gramEnd"/>
      <w:r w:rsidR="00176383" w:rsidRPr="001863C6">
        <w:rPr>
          <w:rFonts w:ascii="Times" w:hAnsi="Times" w:cs="Times New Roman"/>
          <w:color w:val="000000"/>
        </w:rPr>
        <w:t xml:space="preserve"> applied per A unless stated </w:t>
      </w:r>
    </w:p>
    <w:p w14:paraId="3FAFD735" w14:textId="77777777" w:rsidR="006D565D" w:rsidRDefault="00176383" w:rsidP="0017638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  <w:proofErr w:type="spellStart"/>
      <w:proofErr w:type="gramStart"/>
      <w:r w:rsidRPr="001863C6">
        <w:rPr>
          <w:rFonts w:ascii="Times" w:hAnsi="Times" w:cs="Times New Roman"/>
          <w:color w:val="000000"/>
          <w:vertAlign w:val="superscript"/>
        </w:rPr>
        <w:t>y</w:t>
      </w:r>
      <w:r w:rsidR="006D565D">
        <w:rPr>
          <w:rFonts w:ascii="Times" w:hAnsi="Times" w:cs="Times New Roman"/>
          <w:color w:val="000000"/>
        </w:rPr>
        <w:t>Area</w:t>
      </w:r>
      <w:proofErr w:type="spellEnd"/>
      <w:proofErr w:type="gramEnd"/>
      <w:r w:rsidR="006D565D">
        <w:rPr>
          <w:rFonts w:ascii="Times" w:hAnsi="Times" w:cs="Times New Roman"/>
          <w:color w:val="000000"/>
        </w:rPr>
        <w:t xml:space="preserve"> under disease progress curve</w:t>
      </w:r>
    </w:p>
    <w:p w14:paraId="6D5A83DB" w14:textId="3779969C" w:rsidR="00176383" w:rsidRPr="001863C6" w:rsidRDefault="006D565D" w:rsidP="0017638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  <w:proofErr w:type="spellStart"/>
      <w:proofErr w:type="gramStart"/>
      <w:r>
        <w:rPr>
          <w:rFonts w:ascii="Times" w:hAnsi="Times" w:cs="Times New Roman"/>
          <w:color w:val="000000"/>
          <w:vertAlign w:val="superscript"/>
        </w:rPr>
        <w:t>x</w:t>
      </w:r>
      <w:r>
        <w:rPr>
          <w:rFonts w:ascii="Times" w:hAnsi="Times" w:cs="Times New Roman"/>
          <w:color w:val="000000"/>
        </w:rPr>
        <w:t>T</w:t>
      </w:r>
      <w:r w:rsidR="00176383" w:rsidRPr="001863C6">
        <w:rPr>
          <w:rFonts w:ascii="Times" w:hAnsi="Times" w:cs="Times New Roman"/>
          <w:color w:val="000000"/>
        </w:rPr>
        <w:t>reatments</w:t>
      </w:r>
      <w:proofErr w:type="spellEnd"/>
      <w:proofErr w:type="gramEnd"/>
      <w:r w:rsidR="00176383" w:rsidRPr="001863C6">
        <w:rPr>
          <w:rFonts w:ascii="Times" w:hAnsi="Times" w:cs="Times New Roman"/>
          <w:color w:val="000000"/>
        </w:rPr>
        <w:t xml:space="preserve"> followed by the same letter(s) within a column are not significantly different (</w:t>
      </w:r>
      <w:r w:rsidR="00176383" w:rsidRPr="001863C6">
        <w:rPr>
          <w:rFonts w:ascii="Times" w:hAnsi="Times" w:cs="Times New Roman"/>
          <w:i/>
          <w:color w:val="000000"/>
        </w:rPr>
        <w:t>P</w:t>
      </w:r>
      <w:r w:rsidR="00176383" w:rsidRPr="001863C6">
        <w:rPr>
          <w:rFonts w:ascii="Times" w:hAnsi="Times" w:cs="Times New Roman"/>
          <w:color w:val="000000"/>
        </w:rPr>
        <w:t>=0.05, Fisher’s least significant difference)</w:t>
      </w:r>
    </w:p>
    <w:p w14:paraId="45A87DB4" w14:textId="3BF40425" w:rsidR="00176383" w:rsidRPr="001863C6" w:rsidRDefault="006D565D" w:rsidP="0017638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  <w:vertAlign w:val="superscript"/>
        </w:rPr>
        <w:t>w</w:t>
      </w:r>
      <w:r w:rsidR="00176383" w:rsidRPr="001863C6">
        <w:rPr>
          <w:rFonts w:ascii="Times" w:hAnsi="Times" w:cs="Times New Roman"/>
          <w:color w:val="000000"/>
        </w:rPr>
        <w:t>Fisher’s least significant difference</w:t>
      </w:r>
    </w:p>
    <w:p w14:paraId="3154D6B3" w14:textId="77777777" w:rsidR="00176383" w:rsidRPr="001863C6" w:rsidRDefault="00176383" w:rsidP="0017638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 New Roman"/>
          <w:color w:val="000000"/>
        </w:rPr>
      </w:pPr>
    </w:p>
    <w:p w14:paraId="6B11DC55" w14:textId="77777777" w:rsidR="00C4646D" w:rsidRPr="001863C6" w:rsidRDefault="00C4646D" w:rsidP="00C4646D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color w:val="000000"/>
        </w:rPr>
      </w:pPr>
    </w:p>
    <w:sectPr w:rsidR="00C4646D" w:rsidRPr="001863C6" w:rsidSect="00B44706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E"/>
    <w:rsid w:val="00000A57"/>
    <w:rsid w:val="00012454"/>
    <w:rsid w:val="00076998"/>
    <w:rsid w:val="000D1450"/>
    <w:rsid w:val="000F5C03"/>
    <w:rsid w:val="00132C1B"/>
    <w:rsid w:val="0013480C"/>
    <w:rsid w:val="0017304D"/>
    <w:rsid w:val="00176383"/>
    <w:rsid w:val="001863C6"/>
    <w:rsid w:val="001E7584"/>
    <w:rsid w:val="001F034E"/>
    <w:rsid w:val="002026C0"/>
    <w:rsid w:val="00241521"/>
    <w:rsid w:val="00294817"/>
    <w:rsid w:val="003211D1"/>
    <w:rsid w:val="00373BDE"/>
    <w:rsid w:val="003828AB"/>
    <w:rsid w:val="004251F0"/>
    <w:rsid w:val="004D0BB6"/>
    <w:rsid w:val="004D2B99"/>
    <w:rsid w:val="005649CB"/>
    <w:rsid w:val="00614694"/>
    <w:rsid w:val="00636BB2"/>
    <w:rsid w:val="00642DC7"/>
    <w:rsid w:val="006765FA"/>
    <w:rsid w:val="00686C48"/>
    <w:rsid w:val="006D565D"/>
    <w:rsid w:val="00762526"/>
    <w:rsid w:val="00797729"/>
    <w:rsid w:val="007A2750"/>
    <w:rsid w:val="007B2085"/>
    <w:rsid w:val="008C3555"/>
    <w:rsid w:val="008F5710"/>
    <w:rsid w:val="00923AF7"/>
    <w:rsid w:val="00970603"/>
    <w:rsid w:val="009B4E8D"/>
    <w:rsid w:val="009C5A40"/>
    <w:rsid w:val="00A55882"/>
    <w:rsid w:val="00A71B17"/>
    <w:rsid w:val="00AE51F5"/>
    <w:rsid w:val="00B26832"/>
    <w:rsid w:val="00B44706"/>
    <w:rsid w:val="00B82F04"/>
    <w:rsid w:val="00BF32D2"/>
    <w:rsid w:val="00C4577B"/>
    <w:rsid w:val="00C4646D"/>
    <w:rsid w:val="00C95C8F"/>
    <w:rsid w:val="00CC46C3"/>
    <w:rsid w:val="00CF6F0E"/>
    <w:rsid w:val="00D05318"/>
    <w:rsid w:val="00D117AE"/>
    <w:rsid w:val="00D15C20"/>
    <w:rsid w:val="00D44BD7"/>
    <w:rsid w:val="00D613CC"/>
    <w:rsid w:val="00E02CAE"/>
    <w:rsid w:val="00ED69F2"/>
    <w:rsid w:val="00EF405A"/>
    <w:rsid w:val="00FB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66D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F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0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7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F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0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7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Meadows</dc:creator>
  <cp:lastModifiedBy>Inga Meadows</cp:lastModifiedBy>
  <cp:revision>2</cp:revision>
  <cp:lastPrinted>2016-10-15T19:14:00Z</cp:lastPrinted>
  <dcterms:created xsi:type="dcterms:W3CDTF">2017-02-01T21:27:00Z</dcterms:created>
  <dcterms:modified xsi:type="dcterms:W3CDTF">2017-02-01T21:27:00Z</dcterms:modified>
</cp:coreProperties>
</file>